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 w:val="right" w:pos="13323"/>
        </w:tabs>
        <w:spacing w:after="0"/>
        <w:rPr>
          <w:rFonts w:cs="Arial"/>
          <w:b/>
          <w:sz w:val="24"/>
          <w:szCs w:val="24"/>
        </w:rPr>
      </w:pPr>
      <w:r>
        <w:rPr>
          <w:rFonts w:cs="Arial"/>
          <w:b/>
          <w:bCs/>
          <w:sz w:val="24"/>
          <w:szCs w:val="24"/>
        </w:rPr>
        <w:t>3GPP TSG-RAN WG3 Meeting #119bis-e</w:t>
      </w:r>
      <w:r>
        <w:rPr>
          <w:rFonts w:cs="Arial"/>
          <w:b/>
          <w:sz w:val="24"/>
          <w:szCs w:val="24"/>
        </w:rPr>
        <w:tab/>
      </w:r>
      <w:r>
        <w:rPr>
          <w:rFonts w:cs="Arial"/>
          <w:b/>
          <w:i/>
          <w:iCs/>
          <w:sz w:val="24"/>
          <w:szCs w:val="24"/>
        </w:rPr>
        <w:t>R3-231828</w:t>
      </w:r>
    </w:p>
    <w:p>
      <w:pPr>
        <w:pStyle w:val="51"/>
        <w:tabs>
          <w:tab w:val="right" w:pos="9639"/>
          <w:tab w:val="right" w:pos="13323"/>
        </w:tabs>
        <w:spacing w:after="0"/>
        <w:rPr>
          <w:rFonts w:cs="Arial"/>
          <w:b/>
          <w:sz w:val="24"/>
          <w:szCs w:val="24"/>
        </w:rPr>
      </w:pPr>
      <w:r>
        <w:rPr>
          <w:b/>
          <w:sz w:val="24"/>
        </w:rPr>
        <w:t>Online, 17 - 26 Apr, 2023</w:t>
      </w:r>
    </w:p>
    <w:p>
      <w:pPr>
        <w:pStyle w:val="15"/>
        <w:jc w:val="both"/>
        <w:rPr>
          <w:rFonts w:eastAsia="宋体"/>
          <w:b w:val="0"/>
          <w:i w:val="0"/>
          <w:sz w:val="24"/>
        </w:rPr>
      </w:pPr>
    </w:p>
    <w:p>
      <w:pPr>
        <w:tabs>
          <w:tab w:val="left" w:pos="1985"/>
        </w:tabs>
        <w:ind w:left="1980" w:hanging="1980"/>
        <w:rPr>
          <w:rStyle w:val="78"/>
        </w:rPr>
      </w:pPr>
      <w:r>
        <w:rPr>
          <w:b/>
          <w:sz w:val="24"/>
        </w:rPr>
        <w:t>Title:</w:t>
      </w:r>
      <w:r>
        <w:rPr>
          <w:sz w:val="24"/>
        </w:rPr>
        <w:t xml:space="preserve"> </w:t>
      </w:r>
      <w:r>
        <w:rPr>
          <w:sz w:val="24"/>
        </w:rPr>
        <w:tab/>
      </w:r>
      <w:r>
        <w:rPr>
          <w:rFonts w:hint="eastAsia"/>
          <w:sz w:val="24"/>
        </w:rPr>
        <w:t xml:space="preserve">Discussion on QoE measurement in </w:t>
      </w:r>
      <w:r>
        <w:rPr>
          <w:sz w:val="24"/>
        </w:rPr>
        <w:t>RRC_INACTIVE and RRC_IDLE states</w:t>
      </w:r>
    </w:p>
    <w:p>
      <w:pPr>
        <w:tabs>
          <w:tab w:val="left" w:pos="1985"/>
        </w:tabs>
        <w:rPr>
          <w:rStyle w:val="78"/>
        </w:rPr>
      </w:pPr>
      <w:r>
        <w:rPr>
          <w:b/>
          <w:sz w:val="24"/>
        </w:rPr>
        <w:t xml:space="preserve">Source: </w:t>
      </w:r>
      <w:r>
        <w:rPr>
          <w:b/>
          <w:sz w:val="24"/>
        </w:rPr>
        <w:tab/>
      </w:r>
      <w:r>
        <w:rPr>
          <w:rFonts w:hint="eastAsia"/>
          <w:bCs/>
          <w:sz w:val="24"/>
        </w:rPr>
        <w:t>China Unicom</w:t>
      </w:r>
    </w:p>
    <w:p>
      <w:pPr>
        <w:tabs>
          <w:tab w:val="left" w:pos="1985"/>
        </w:tabs>
        <w:rPr>
          <w:rStyle w:val="78"/>
        </w:rPr>
      </w:pPr>
      <w:r>
        <w:rPr>
          <w:b/>
          <w:sz w:val="24"/>
        </w:rPr>
        <w:t>Agenda item:</w:t>
      </w:r>
      <w:r>
        <w:rPr>
          <w:sz w:val="24"/>
        </w:rPr>
        <w:tab/>
      </w:r>
      <w:r>
        <w:rPr>
          <w:rFonts w:hint="eastAsia"/>
          <w:sz w:val="24"/>
          <w:lang w:val="en-US"/>
        </w:rPr>
        <w:t>11</w:t>
      </w:r>
      <w:r>
        <w:rPr>
          <w:sz w:val="24"/>
        </w:rPr>
        <w:t>.2</w:t>
      </w:r>
    </w:p>
    <w:p>
      <w:pPr>
        <w:tabs>
          <w:tab w:val="left" w:pos="1985"/>
        </w:tabs>
        <w:ind w:left="1980" w:hanging="1980"/>
        <w:rPr>
          <w:rStyle w:val="78"/>
        </w:rPr>
      </w:pPr>
      <w:r>
        <w:rPr>
          <w:b/>
          <w:sz w:val="24"/>
        </w:rPr>
        <w:t>Document Type:</w:t>
      </w:r>
      <w:r>
        <w:rPr>
          <w:sz w:val="24"/>
        </w:rPr>
        <w:tab/>
      </w:r>
      <w:r>
        <w:rPr>
          <w:rFonts w:hint="eastAsia"/>
          <w:sz w:val="24"/>
        </w:rPr>
        <w:t>D</w:t>
      </w:r>
      <w:r>
        <w:rPr>
          <w:sz w:val="24"/>
        </w:rPr>
        <w:t>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hint="eastAsia" w:ascii="Times New Roman" w:hAnsi="Times New Roman" w:eastAsia="宋体"/>
          <w:sz w:val="21"/>
          <w:szCs w:val="21"/>
          <w:lang w:val="en-US"/>
        </w:rPr>
        <w:t>6</w:t>
      </w:r>
      <w:r>
        <w:rPr>
          <w:rFonts w:ascii="Times New Roman" w:hAnsi="Times New Roman"/>
          <w:sz w:val="21"/>
          <w:szCs w:val="21"/>
        </w:rPr>
        <w:t xml:space="preserve"> (RP-2</w:t>
      </w:r>
      <w:r>
        <w:rPr>
          <w:rFonts w:hint="eastAsia" w:ascii="Times New Roman" w:hAnsi="Times New Roman" w:eastAsia="宋体"/>
          <w:sz w:val="21"/>
          <w:szCs w:val="21"/>
          <w:lang w:val="en-US"/>
        </w:rPr>
        <w:t>21803</w:t>
      </w:r>
      <w:r>
        <w:rPr>
          <w:rFonts w:ascii="Times New Roman" w:hAnsi="Times New Roman"/>
          <w:sz w:val="21"/>
          <w:szCs w:val="21"/>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sz w:val="21"/>
                <w:szCs w:val="21"/>
              </w:rPr>
            </w:pPr>
            <w:r>
              <w:rPr>
                <w:rFonts w:ascii="Times New Roman" w:hAnsi="Times New Roman"/>
                <w:bCs/>
                <w:sz w:val="22"/>
                <w:szCs w:val="21"/>
              </w:rPr>
              <w:t>Specify the new service and the existing service defined or to be supported by SA4, combined with high mobility scenarios, e.g., High Speed Trains.</w:t>
            </w:r>
          </w:p>
          <w:p>
            <w:pPr>
              <w:numPr>
                <w:ilvl w:val="0"/>
                <w:numId w:val="5"/>
              </w:numPr>
              <w:spacing w:before="120" w:beforeLines="50" w:after="0"/>
              <w:rPr>
                <w:rFonts w:ascii="Times New Roman" w:hAnsi="Times New Roman"/>
                <w:bCs/>
                <w:sz w:val="21"/>
                <w:szCs w:val="21"/>
              </w:rPr>
            </w:pPr>
            <w:r>
              <w:rPr>
                <w:rFonts w:ascii="Times New Roman" w:hAnsi="Times New Roman"/>
                <w:bCs/>
                <w:sz w:val="21"/>
                <w:szCs w:val="21"/>
              </w:rPr>
              <w:t>Specify for QoE measurement</w:t>
            </w:r>
            <w:r>
              <w:rPr>
                <w:rFonts w:ascii="Times New Roman" w:hAnsi="Times New Roman"/>
                <w:bCs/>
                <w:sz w:val="21"/>
                <w:szCs w:val="21"/>
                <w:lang w:val="en-US"/>
              </w:rPr>
              <w:t xml:space="preserve"> configuration and</w:t>
            </w:r>
            <w:r>
              <w:rPr>
                <w:rFonts w:ascii="Times New Roman" w:hAnsi="Times New Roman"/>
                <w:bCs/>
                <w:sz w:val="21"/>
                <w:szCs w:val="21"/>
              </w:rPr>
              <w:t xml:space="preserve"> collection </w:t>
            </w:r>
            <w:r>
              <w:rPr>
                <w:rFonts w:ascii="Times New Roman" w:hAnsi="Times New Roman"/>
                <w:bCs/>
                <w:sz w:val="21"/>
                <w:szCs w:val="21"/>
                <w:lang w:val="en-US"/>
              </w:rPr>
              <w:t>in RRC_INACTIVE and RRC_IDLE states</w:t>
            </w:r>
            <w:r>
              <w:rPr>
                <w:rFonts w:ascii="Times New Roman" w:hAnsi="Times New Roman"/>
                <w:bCs/>
                <w:sz w:val="21"/>
                <w:szCs w:val="21"/>
              </w:rPr>
              <w:t xml:space="preserve"> </w:t>
            </w:r>
            <w:r>
              <w:rPr>
                <w:rFonts w:ascii="Times New Roman" w:hAnsi="Times New Roman"/>
                <w:bCs/>
                <w:sz w:val="21"/>
                <w:szCs w:val="21"/>
                <w:lang w:val="en-US"/>
              </w:rPr>
              <w:t xml:space="preserve">for MBS, at least </w:t>
            </w:r>
            <w:r>
              <w:rPr>
                <w:rFonts w:ascii="Times New Roman" w:hAnsi="Times New Roman"/>
                <w:bCs/>
                <w:sz w:val="21"/>
                <w:szCs w:val="21"/>
              </w:rPr>
              <w:t xml:space="preserve">for </w:t>
            </w:r>
            <w:r>
              <w:rPr>
                <w:rFonts w:ascii="Times New Roman" w:hAnsi="Times New Roman"/>
                <w:bCs/>
                <w:sz w:val="21"/>
                <w:szCs w:val="21"/>
                <w:lang w:val="en-US"/>
              </w:rPr>
              <w:t xml:space="preserve">broadcast </w:t>
            </w:r>
            <w:r>
              <w:rPr>
                <w:rFonts w:ascii="Times New Roman" w:hAnsi="Times New Roman"/>
                <w:bCs/>
                <w:sz w:val="21"/>
                <w:szCs w:val="21"/>
              </w:rPr>
              <w:t>service</w:t>
            </w:r>
            <w:r>
              <w:rPr>
                <w:rFonts w:ascii="Times New Roman" w:hAnsi="Times New Roman"/>
                <w:bCs/>
                <w:sz w:val="21"/>
                <w:szCs w:val="21"/>
                <w:lang w:val="en-US"/>
              </w:rPr>
              <w:t xml:space="preserve"> </w:t>
            </w:r>
            <w:r>
              <w:rPr>
                <w:rFonts w:ascii="Times New Roman" w:hAnsi="Times New Roman"/>
                <w:bCs/>
                <w:sz w:val="21"/>
                <w:szCs w:val="21"/>
              </w:rPr>
              <w:t>[RAN3, RAN2].</w:t>
            </w:r>
          </w:p>
          <w:p>
            <w:pPr>
              <w:numPr>
                <w:ilvl w:val="0"/>
                <w:numId w:val="6"/>
              </w:numPr>
              <w:spacing w:after="0"/>
              <w:rPr>
                <w:rFonts w:ascii="Times New Roman" w:hAnsi="Times New Roman"/>
                <w:sz w:val="21"/>
                <w:szCs w:val="21"/>
              </w:rPr>
            </w:pPr>
            <w:r>
              <w:rPr>
                <w:rFonts w:ascii="Times New Roman" w:hAnsi="Times New Roman"/>
                <w:bCs/>
                <w:sz w:val="21"/>
                <w:szCs w:val="21"/>
              </w:rPr>
              <w:t xml:space="preserve">Specify the mechanism to support the alignment of </w:t>
            </w:r>
            <w:r>
              <w:rPr>
                <w:rFonts w:ascii="Times New Roman" w:hAnsi="Times New Roman"/>
                <w:bCs/>
                <w:sz w:val="21"/>
                <w:szCs w:val="21"/>
                <w:lang w:val="en-US"/>
              </w:rPr>
              <w:t xml:space="preserve">the existing </w:t>
            </w:r>
            <w:r>
              <w:rPr>
                <w:rFonts w:ascii="Times New Roman" w:hAnsi="Times New Roman"/>
                <w:bCs/>
                <w:sz w:val="21"/>
                <w:szCs w:val="21"/>
              </w:rPr>
              <w:t>radio related measurement and QoE reporting.</w:t>
            </w:r>
          </w:p>
        </w:tc>
      </w:tr>
    </w:tbl>
    <w:p>
      <w:pPr>
        <w:rPr>
          <w:rFonts w:ascii="Times New Roman" w:hAnsi="Times New Roman" w:eastAsia="等线"/>
          <w:sz w:val="21"/>
          <w:szCs w:val="21"/>
          <w:lang w:val="en-US"/>
        </w:rPr>
      </w:pPr>
    </w:p>
    <w:p>
      <w:pPr>
        <w:rPr>
          <w:rFonts w:ascii="Times New Roman" w:hAnsi="Times New Roman" w:eastAsia="宋体"/>
          <w:sz w:val="21"/>
          <w:szCs w:val="21"/>
          <w:lang w:val="en-US"/>
        </w:rPr>
      </w:pPr>
      <w:r>
        <w:rPr>
          <w:rStyle w:val="44"/>
          <w:rFonts w:ascii="Times New Roman" w:hAnsi="Times New Roman"/>
          <w:sz w:val="21"/>
          <w:szCs w:val="21"/>
          <w:lang w:val="en-GB"/>
        </w:rPr>
        <w:t xml:space="preserve">This paper discusses to support </w:t>
      </w:r>
      <w:r>
        <w:rPr>
          <w:rStyle w:val="44"/>
          <w:rFonts w:ascii="Times New Roman" w:hAnsi="Times New Roman" w:eastAsia="等线"/>
          <w:sz w:val="21"/>
          <w:szCs w:val="21"/>
        </w:rPr>
        <w:t>the</w:t>
      </w:r>
      <w:r>
        <w:rPr>
          <w:rStyle w:val="44"/>
          <w:rFonts w:hint="eastAsia" w:ascii="Times New Roman" w:hAnsi="Times New Roman" w:eastAsia="等线"/>
          <w:sz w:val="21"/>
          <w:szCs w:val="21"/>
        </w:rPr>
        <w:t xml:space="preserve"> QoE measurement configuration and reporting in RRC_INACTIVE and RRC_IDLE states for MBS service</w:t>
      </w:r>
      <w:r>
        <w:rPr>
          <w:rFonts w:ascii="Times New Roman" w:hAnsi="Times New Roman" w:eastAsia="宋体"/>
          <w:sz w:val="21"/>
          <w:szCs w:val="21"/>
          <w:lang w:val="en-US"/>
        </w:rPr>
        <w:t>.</w:t>
      </w:r>
    </w:p>
    <w:p>
      <w:pPr>
        <w:rPr>
          <w:rFonts w:ascii="Times New Roman" w:hAnsi="Times New Roman" w:eastAsia="宋体"/>
          <w:sz w:val="21"/>
          <w:szCs w:val="21"/>
          <w:lang w:val="en-US"/>
        </w:rPr>
      </w:pP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bCs/>
          <w:lang w:val="en-US"/>
        </w:rPr>
      </w:pPr>
      <w:r>
        <w:rPr>
          <w:rFonts w:hint="eastAsia" w:ascii="Times New Roman" w:hAnsi="Times New Roman" w:cs="Times New Roman"/>
          <w:lang w:val="en-US"/>
        </w:rPr>
        <w:t xml:space="preserve"> QoE configuration </w:t>
      </w:r>
      <w:r>
        <w:rPr>
          <w:rFonts w:ascii="Times New Roman" w:hAnsi="Times New Roman" w:cs="Times New Roman"/>
          <w:lang w:val="en-US"/>
        </w:rPr>
        <w:t>for</w:t>
      </w:r>
      <w:r>
        <w:rPr>
          <w:rFonts w:hint="eastAsia" w:ascii="Times New Roman" w:hAnsi="Times New Roman" w:eastAsia="等线" w:cs="Times New Roman"/>
          <w:bCs/>
          <w:lang w:val="en-US"/>
        </w:rPr>
        <w:t xml:space="preserve"> </w:t>
      </w:r>
      <w:r>
        <w:rPr>
          <w:rFonts w:ascii="Times New Roman" w:hAnsi="Times New Roman" w:eastAsia="等线" w:cs="Times New Roman"/>
          <w:bCs/>
          <w:lang w:val="en-US"/>
        </w:rPr>
        <w:t xml:space="preserve">MBS </w:t>
      </w:r>
      <w:r>
        <w:rPr>
          <w:rFonts w:ascii="Times New Roman" w:hAnsi="Times New Roman" w:cs="Times New Roman"/>
          <w:bCs/>
          <w:lang w:val="en-US"/>
        </w:rPr>
        <w:t>in RRC_INACTIVE and RRC_IDLE states</w:t>
      </w:r>
    </w:p>
    <w:p>
      <w:pPr>
        <w:rPr>
          <w:rFonts w:ascii="Times New Roman" w:hAnsi="Times New Roman" w:eastAsia="宋体"/>
          <w:bCs/>
          <w:lang w:val="en-US"/>
        </w:rPr>
      </w:pPr>
      <w:r>
        <w:rPr>
          <w:rFonts w:ascii="Times New Roman" w:hAnsi="Times New Roman" w:eastAsia="宋体"/>
          <w:bCs/>
          <w:lang w:val="en-US"/>
        </w:rPr>
        <w:t>An FFS has been made in the last meeting:</w:t>
      </w:r>
    </w:p>
    <w:p>
      <w:pPr>
        <w:rPr>
          <w:rFonts w:ascii="Calibri" w:hAnsi="Calibri" w:cs="Calibri"/>
          <w:b/>
          <w:color w:val="008000"/>
          <w:sz w:val="18"/>
        </w:rPr>
      </w:pPr>
      <w:r>
        <w:rPr>
          <w:rFonts w:ascii="Calibri" w:hAnsi="Calibri" w:cs="Calibri"/>
          <w:b/>
          <w:color w:val="008000"/>
          <w:sz w:val="18"/>
        </w:rPr>
        <w:t>RAN3 shall discuss which of other QoE configuration info for MBS BC QoE shall be available in the new gNB.</w:t>
      </w:r>
    </w:p>
    <w:p>
      <w:pPr>
        <w:rPr>
          <w:rFonts w:ascii="Calibri" w:hAnsi="Calibri" w:cs="Calibri"/>
          <w:b/>
          <w:color w:val="0000FF"/>
          <w:sz w:val="18"/>
        </w:rPr>
      </w:pPr>
      <w:r>
        <w:rPr>
          <w:rFonts w:ascii="Calibri" w:hAnsi="Calibri" w:cs="Calibri"/>
          <w:b/>
          <w:color w:val="0000FF"/>
          <w:sz w:val="18"/>
        </w:rPr>
        <w:t>Measurement Configuration Application Layer ID (RRC level ID)</w:t>
      </w:r>
    </w:p>
    <w:p>
      <w:pPr>
        <w:rPr>
          <w:rFonts w:ascii="Calibri" w:hAnsi="Calibri" w:cs="Calibri"/>
          <w:b/>
          <w:color w:val="0000FF"/>
          <w:sz w:val="18"/>
        </w:rPr>
      </w:pPr>
      <w:r>
        <w:rPr>
          <w:rFonts w:ascii="Calibri" w:hAnsi="Calibri" w:cs="Calibri"/>
          <w:b/>
          <w:color w:val="0000FF"/>
          <w:sz w:val="18"/>
        </w:rPr>
        <w:t>Service Type</w:t>
      </w:r>
    </w:p>
    <w:p>
      <w:pPr>
        <w:rPr>
          <w:rFonts w:ascii="Calibri" w:hAnsi="Calibri" w:cs="Calibri"/>
          <w:b/>
          <w:color w:val="0000FF"/>
          <w:sz w:val="18"/>
        </w:rPr>
      </w:pPr>
      <w:r>
        <w:rPr>
          <w:rFonts w:ascii="Calibri" w:hAnsi="Calibri" w:cs="Calibri"/>
          <w:b/>
          <w:color w:val="0000FF"/>
          <w:sz w:val="18"/>
        </w:rPr>
        <w:t>Container for Application Layer Measurement Configuration (config container)</w:t>
      </w:r>
    </w:p>
    <w:p>
      <w:pPr>
        <w:rPr>
          <w:rFonts w:ascii="Calibri" w:hAnsi="Calibri" w:cs="Calibri"/>
          <w:b/>
          <w:color w:val="0000FF"/>
          <w:sz w:val="18"/>
        </w:rPr>
      </w:pPr>
      <w:r>
        <w:rPr>
          <w:rFonts w:ascii="Calibri" w:hAnsi="Calibri" w:cs="Calibri"/>
          <w:b/>
          <w:color w:val="0000FF"/>
          <w:sz w:val="18"/>
        </w:rPr>
        <w:t>MDT Alignment Information</w:t>
      </w:r>
    </w:p>
    <w:p>
      <w:pPr>
        <w:rPr>
          <w:rFonts w:ascii="Calibri" w:hAnsi="Calibri" w:cs="Calibri"/>
          <w:b/>
          <w:color w:val="0000FF"/>
          <w:sz w:val="18"/>
        </w:rPr>
      </w:pPr>
      <w:r>
        <w:rPr>
          <w:rFonts w:ascii="Calibri" w:hAnsi="Calibri" w:cs="Calibri"/>
          <w:b/>
          <w:color w:val="0000FF"/>
          <w:sz w:val="18"/>
        </w:rPr>
        <w:t>Area Scope of QMC (area scope)</w:t>
      </w:r>
    </w:p>
    <w:p>
      <w:pPr>
        <w:rPr>
          <w:rFonts w:ascii="Calibri" w:hAnsi="Calibri" w:cs="Calibri"/>
          <w:b/>
          <w:color w:val="0000FF"/>
          <w:sz w:val="18"/>
        </w:rPr>
      </w:pPr>
      <w:r>
        <w:rPr>
          <w:rFonts w:ascii="Calibri" w:hAnsi="Calibri" w:cs="Calibri"/>
          <w:b/>
          <w:color w:val="0000FF"/>
          <w:sz w:val="18"/>
        </w:rPr>
        <w:t>S-NSSAI Information (slicing info)</w:t>
      </w:r>
    </w:p>
    <w:p>
      <w:pPr>
        <w:rPr>
          <w:rFonts w:ascii="Calibri" w:hAnsi="Calibri" w:cs="Calibri"/>
          <w:b/>
          <w:color w:val="0000FF"/>
          <w:sz w:val="18"/>
        </w:rPr>
      </w:pPr>
      <w:r>
        <w:rPr>
          <w:rFonts w:ascii="Calibri" w:hAnsi="Calibri" w:cs="Calibri"/>
          <w:b/>
          <w:color w:val="0000FF"/>
          <w:sz w:val="18"/>
        </w:rPr>
        <w:t>RVQoE Information</w:t>
      </w:r>
    </w:p>
    <w:p>
      <w:pPr>
        <w:rPr>
          <w:rFonts w:ascii="Calibri" w:hAnsi="Calibri" w:cs="Calibri"/>
          <w:b/>
          <w:color w:val="0000FF"/>
          <w:sz w:val="18"/>
        </w:rPr>
      </w:pPr>
      <w:r>
        <w:rPr>
          <w:rFonts w:ascii="Calibri" w:hAnsi="Calibri" w:cs="Calibri"/>
          <w:b/>
          <w:color w:val="0000FF"/>
          <w:sz w:val="18"/>
        </w:rPr>
        <w:t>QoE measurement type (signalling based, management based)</w:t>
      </w:r>
    </w:p>
    <w:p>
      <w:pPr>
        <w:rPr>
          <w:rFonts w:ascii="Times New Roman" w:hAnsi="Times New Roman" w:eastAsia="宋体"/>
          <w:lang w:val="en-US"/>
        </w:rPr>
      </w:pPr>
      <w:r>
        <w:rPr>
          <w:rFonts w:ascii="Times New Roman" w:hAnsi="Times New Roman" w:eastAsia="宋体"/>
          <w:lang w:val="en-US"/>
        </w:rPr>
        <w:t>With respect to which information should be available in the new gNB when UE comes to RRC_CONNECTED states from RRC_IDLE, it is dependent on what next behaviors of the new gNB with needful QoE configuration information.</w:t>
      </w:r>
    </w:p>
    <w:p>
      <w:pPr>
        <w:pStyle w:val="39"/>
        <w:numPr>
          <w:ilvl w:val="0"/>
          <w:numId w:val="7"/>
        </w:numPr>
        <w:rPr>
          <w:rFonts w:ascii="Times New Roman" w:hAnsi="Times New Roman" w:eastAsia="宋体"/>
          <w:lang w:val="en-US"/>
        </w:rPr>
      </w:pPr>
      <w:r>
        <w:rPr>
          <w:rFonts w:ascii="Times New Roman" w:hAnsi="Times New Roman" w:eastAsia="宋体"/>
          <w:lang w:val="en-US"/>
        </w:rPr>
        <w:t>Scenario 1: Just for reporting QoE report to MCE</w:t>
      </w:r>
    </w:p>
    <w:p>
      <w:pPr>
        <w:rPr>
          <w:rFonts w:ascii="Times New Roman" w:hAnsi="Times New Roman" w:eastAsia="宋体"/>
          <w:lang w:val="en-US"/>
        </w:rPr>
      </w:pPr>
      <w:r>
        <w:rPr>
          <w:rFonts w:ascii="Times New Roman" w:hAnsi="Times New Roman" w:eastAsia="宋体"/>
          <w:lang w:val="en-US"/>
        </w:rPr>
        <w:t xml:space="preserve">In this case, MCE IP address and QoE reference is needed for the new gNB to forward the QMC report </w:t>
      </w:r>
      <w:r>
        <w:rPr>
          <w:rFonts w:ascii="Times New Roman" w:hAnsi="Times New Roman"/>
          <w:lang w:eastAsia="en-US"/>
        </w:rPr>
        <w:t xml:space="preserve">associated to the </w:t>
      </w:r>
      <w:r>
        <w:rPr>
          <w:rFonts w:ascii="Times New Roman" w:hAnsi="Times New Roman" w:eastAsia="宋体"/>
          <w:lang w:val="en-US"/>
        </w:rPr>
        <w:t xml:space="preserve">QoE reference to the corresponding MCE server, where the two parameter has been agreed in RAN3#119 meeting. </w:t>
      </w:r>
    </w:p>
    <w:p>
      <w:pPr>
        <w:rPr>
          <w:rFonts w:ascii="Calibri" w:hAnsi="Calibri" w:cs="Calibri"/>
          <w:b/>
          <w:color w:val="008000"/>
          <w:sz w:val="18"/>
        </w:rPr>
      </w:pPr>
      <w:r>
        <w:rPr>
          <w:rFonts w:ascii="Calibri" w:hAnsi="Calibri" w:cs="Calibri"/>
          <w:b/>
          <w:color w:val="008000"/>
          <w:sz w:val="18"/>
        </w:rPr>
        <w:t>At least the following QoE configuration related information for MBS broadcast service should be available in the new gNB:</w:t>
      </w:r>
    </w:p>
    <w:p>
      <w:pPr>
        <w:numPr>
          <w:ilvl w:val="0"/>
          <w:numId w:val="8"/>
        </w:numPr>
        <w:overflowPunct/>
        <w:autoSpaceDE/>
        <w:autoSpaceDN/>
        <w:adjustRightInd/>
        <w:spacing w:before="100" w:beforeAutospacing="1"/>
        <w:jc w:val="left"/>
        <w:textAlignment w:val="auto"/>
        <w:rPr>
          <w:rFonts w:ascii="Calibri" w:hAnsi="Calibri" w:cs="Calibri"/>
          <w:b/>
          <w:color w:val="008000"/>
          <w:sz w:val="18"/>
        </w:rPr>
      </w:pPr>
      <w:r>
        <w:rPr>
          <w:rFonts w:ascii="Calibri" w:hAnsi="Calibri" w:cs="Calibri"/>
          <w:b/>
          <w:color w:val="008000"/>
          <w:sz w:val="18"/>
        </w:rPr>
        <w:t>QoE reference</w:t>
      </w:r>
    </w:p>
    <w:p>
      <w:pPr>
        <w:numPr>
          <w:ilvl w:val="0"/>
          <w:numId w:val="8"/>
        </w:numPr>
        <w:overflowPunct/>
        <w:autoSpaceDE/>
        <w:autoSpaceDN/>
        <w:adjustRightInd/>
        <w:spacing w:before="100" w:beforeAutospacing="1"/>
        <w:jc w:val="left"/>
        <w:textAlignment w:val="auto"/>
        <w:rPr>
          <w:rFonts w:ascii="Calibri" w:hAnsi="Calibri" w:cs="Calibri"/>
          <w:b/>
          <w:color w:val="008000"/>
          <w:sz w:val="18"/>
        </w:rPr>
      </w:pPr>
      <w:r>
        <w:rPr>
          <w:rFonts w:ascii="Calibri" w:hAnsi="Calibri" w:cs="Calibri"/>
          <w:b/>
          <w:color w:val="008000"/>
          <w:sz w:val="18"/>
        </w:rPr>
        <w:t>Measurement Collection Entity Information, the detail information can be further discussed</w:t>
      </w:r>
    </w:p>
    <w:p>
      <w:pPr>
        <w:rPr>
          <w:rFonts w:ascii="Calibri" w:hAnsi="Calibri" w:eastAsia="等线" w:cs="Calibri"/>
          <w:color w:val="0070C0"/>
        </w:rPr>
      </w:pPr>
    </w:p>
    <w:p>
      <w:pPr>
        <w:rPr>
          <w:rFonts w:ascii="Times New Roman" w:hAnsi="Times New Roman" w:eastAsia="宋体"/>
          <w:lang w:val="en-US"/>
        </w:rPr>
      </w:pPr>
      <w:r>
        <w:rPr>
          <w:rFonts w:ascii="Times New Roman" w:hAnsi="Times New Roman" w:eastAsia="宋体"/>
          <w:lang w:val="en-US"/>
        </w:rPr>
        <w:t>With respect to whether to use MCE IP address or MCE ID information, considering MCE IP address IE would be consuming for Uu, then MCE ID can be considered for UE-based solution. For CN-based solution, MCE IP address can be directly reused because there is no storage issue for CN although SA2 should be asked for the feasibility.</w:t>
      </w:r>
    </w:p>
    <w:p>
      <w:pPr>
        <w:rPr>
          <w:rFonts w:ascii="Calibri" w:hAnsi="Calibri" w:eastAsia="等线" w:cs="Calibri"/>
          <w:color w:val="0070C0"/>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sz w:val="16"/>
              </w:rPr>
            </w:pPr>
            <w:r>
              <w:rPr>
                <w:rFonts w:ascii="Courier New" w:hAnsi="Courier New"/>
                <w:sz w:val="16"/>
              </w:rPr>
              <w:t xml:space="preserve">MCE-IP-Address-r17 ::=  </w:t>
            </w:r>
            <w:r>
              <w:rPr>
                <w:rFonts w:ascii="Courier New" w:hAnsi="Courier New"/>
                <w:color w:val="993366"/>
                <w:sz w:val="16"/>
              </w:rPr>
              <w:t>CHOICE</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sz w:val="16"/>
                <w:lang w:eastAsia="en-US"/>
              </w:rPr>
            </w:pPr>
            <w:r>
              <w:rPr>
                <w:rFonts w:ascii="Courier New" w:hAnsi="Courier New"/>
                <w:sz w:val="16"/>
              </w:rPr>
              <w:t xml:space="preserve">    </w:t>
            </w:r>
            <w:r>
              <w:rPr>
                <w:rFonts w:ascii="Courier New" w:hAnsi="Courier New"/>
                <w:sz w:val="16"/>
                <w:lang w:eastAsia="en-US"/>
              </w:rPr>
              <w:t xml:space="preserve">iPv4-Address-r17                </w:t>
            </w:r>
            <w:r>
              <w:rPr>
                <w:rFonts w:ascii="Courier New" w:hAnsi="Courier New"/>
                <w:color w:val="993366"/>
                <w:sz w:val="16"/>
                <w:lang w:eastAsia="en-US"/>
              </w:rPr>
              <w:t>BIT</w:t>
            </w:r>
            <w:r>
              <w:rPr>
                <w:rFonts w:ascii="Courier New" w:hAnsi="Courier New"/>
                <w:sz w:val="16"/>
                <w:lang w:eastAsia="en-US"/>
              </w:rPr>
              <w:t xml:space="preserve"> </w:t>
            </w:r>
            <w:r>
              <w:rPr>
                <w:rFonts w:ascii="Courier New" w:hAnsi="Courier New"/>
                <w:color w:val="993366"/>
                <w:sz w:val="16"/>
                <w:lang w:eastAsia="en-US"/>
              </w:rPr>
              <w:t>STRING</w:t>
            </w:r>
            <w:r>
              <w:rPr>
                <w:rFonts w:ascii="Courier New" w:hAnsi="Courier New"/>
                <w:sz w:val="16"/>
                <w:lang w:eastAsia="en-US"/>
              </w:rPr>
              <w:t xml:space="preserve"> (</w:t>
            </w:r>
            <w:r>
              <w:rPr>
                <w:rFonts w:ascii="Courier New" w:hAnsi="Courier New"/>
                <w:color w:val="993366"/>
                <w:sz w:val="16"/>
                <w:lang w:eastAsia="en-US"/>
              </w:rPr>
              <w:t>SIZE</w:t>
            </w:r>
            <w:r>
              <w:rPr>
                <w:rFonts w:ascii="Courier New" w:hAnsi="Courier New"/>
                <w:sz w:val="16"/>
                <w:lang w:eastAsia="en-US"/>
              </w:rPr>
              <w:t>(32)),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hAnsi="Courier New"/>
                <w:sz w:val="16"/>
                <w:lang w:eastAsia="en-US"/>
              </w:rPr>
            </w:pPr>
            <w:r>
              <w:rPr>
                <w:rFonts w:ascii="Courier New" w:hAnsi="Courier New"/>
                <w:sz w:val="16"/>
                <w:lang w:eastAsia="en-US"/>
              </w:rPr>
              <w:t xml:space="preserve">    iPv6-Address-r17                </w:t>
            </w:r>
            <w:r>
              <w:rPr>
                <w:rFonts w:ascii="Courier New" w:hAnsi="Courier New"/>
                <w:color w:val="993366"/>
                <w:sz w:val="16"/>
                <w:lang w:eastAsia="en-US"/>
              </w:rPr>
              <w:t>BIT</w:t>
            </w:r>
            <w:r>
              <w:rPr>
                <w:rFonts w:ascii="Courier New" w:hAnsi="Courier New"/>
                <w:sz w:val="16"/>
                <w:lang w:eastAsia="en-US"/>
              </w:rPr>
              <w:t xml:space="preserve"> </w:t>
            </w:r>
            <w:r>
              <w:rPr>
                <w:rFonts w:ascii="Courier New" w:hAnsi="Courier New"/>
                <w:color w:val="993366"/>
                <w:sz w:val="16"/>
                <w:lang w:eastAsia="en-US"/>
              </w:rPr>
              <w:t>STRING</w:t>
            </w:r>
            <w:r>
              <w:rPr>
                <w:rFonts w:ascii="Courier New" w:hAnsi="Courier New"/>
                <w:sz w:val="16"/>
                <w:lang w:eastAsia="en-US"/>
              </w:rPr>
              <w:t xml:space="preserve"> (</w:t>
            </w:r>
            <w:r>
              <w:rPr>
                <w:rFonts w:ascii="Courier New" w:hAnsi="Courier New"/>
                <w:color w:val="993366"/>
                <w:sz w:val="16"/>
                <w:lang w:eastAsia="en-US"/>
              </w:rPr>
              <w:t>SIZE</w:t>
            </w:r>
            <w:r>
              <w:rPr>
                <w:rFonts w:ascii="Courier New" w:hAnsi="Courier New"/>
                <w:sz w:val="16"/>
                <w:lang w:eastAsia="en-US"/>
              </w:rPr>
              <w:t>(128)),</w:t>
            </w:r>
          </w:p>
          <w:p>
            <w:pPr>
              <w:ind w:firstLine="384"/>
              <w:rPr>
                <w:rFonts w:ascii="Courier New" w:hAnsi="Courier New"/>
                <w:sz w:val="16"/>
                <w:lang w:eastAsia="en-US"/>
              </w:rPr>
            </w:pPr>
            <w:r>
              <w:rPr>
                <w:rFonts w:ascii="Courier New" w:hAnsi="Courier New"/>
                <w:sz w:val="16"/>
                <w:lang w:eastAsia="en-US"/>
              </w:rPr>
              <w:t>...</w:t>
            </w:r>
          </w:p>
          <w:p>
            <w:pPr>
              <w:spacing w:after="0"/>
              <w:rPr>
                <w:rFonts w:ascii="Times New Roman" w:hAnsi="Times New Roman"/>
                <w:sz w:val="21"/>
                <w:szCs w:val="21"/>
              </w:rPr>
            </w:pPr>
          </w:p>
        </w:tc>
      </w:tr>
    </w:tbl>
    <w:p>
      <w:pPr>
        <w:ind w:firstLine="384"/>
        <w:rPr>
          <w:rFonts w:ascii="Times New Roman" w:hAnsi="Times New Roman" w:eastAsia="宋体"/>
        </w:rPr>
      </w:pP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1</w:t>
      </w:r>
      <w:r>
        <w:rPr>
          <w:rFonts w:hint="eastAsia" w:ascii="Times New Roman" w:hAnsi="Times New Roman" w:eastAsia="宋体"/>
          <w:b/>
          <w:bCs/>
          <w:lang w:val="en-US"/>
        </w:rPr>
        <w:t>:</w:t>
      </w:r>
      <w:r>
        <w:rPr>
          <w:rFonts w:ascii="Times New Roman" w:hAnsi="Times New Roman" w:eastAsia="宋体"/>
          <w:b/>
          <w:bCs/>
          <w:lang w:val="en-US"/>
        </w:rPr>
        <w:t xml:space="preserve"> MCE IP ID information should be provided to new gNB for UE-based solution, and MCE IP address IE should be provided to new gNB for CN-based solution.</w:t>
      </w:r>
    </w:p>
    <w:p>
      <w:pPr>
        <w:rPr>
          <w:rFonts w:ascii="Times New Roman" w:hAnsi="Times New Roman" w:eastAsia="宋体"/>
          <w:b/>
          <w:bCs/>
          <w:lang w:val="en-US"/>
        </w:rPr>
      </w:pPr>
    </w:p>
    <w:p>
      <w:pPr>
        <w:rPr>
          <w:rFonts w:ascii="Times New Roman" w:hAnsi="Times New Roman" w:eastAsia="宋体"/>
          <w:lang w:val="en-US"/>
        </w:rPr>
      </w:pPr>
      <w:r>
        <w:rPr>
          <w:rFonts w:ascii="Times New Roman" w:hAnsi="Times New Roman" w:eastAsia="宋体"/>
          <w:bCs/>
          <w:lang w:val="en-US"/>
        </w:rPr>
        <w:t>Considering the MDT alignment related information, since the basic solution for MDT alignment has not been started, the MDT alignment information can be discussed after the MDT alignment solution for MBS service has been consolidated.</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ascii="Times New Roman" w:hAnsi="Times New Roman" w:eastAsia="宋体"/>
          <w:b/>
          <w:bCs/>
          <w:lang w:val="en-US"/>
        </w:rPr>
        <w:t xml:space="preserve"> MDT alignment information should be discussed after the basic solution has been consolidated.</w:t>
      </w:r>
    </w:p>
    <w:p>
      <w:pPr>
        <w:rPr>
          <w:rFonts w:ascii="Times New Roman" w:hAnsi="Times New Roman" w:eastAsia="宋体"/>
          <w:b/>
          <w:bCs/>
          <w:lang w:val="en-US"/>
        </w:rPr>
      </w:pPr>
    </w:p>
    <w:p>
      <w:pPr>
        <w:pStyle w:val="39"/>
        <w:numPr>
          <w:ilvl w:val="0"/>
          <w:numId w:val="7"/>
        </w:numPr>
        <w:rPr>
          <w:rFonts w:ascii="Times New Roman" w:hAnsi="Times New Roman" w:eastAsia="宋体"/>
          <w:lang w:val="en-US"/>
        </w:rPr>
      </w:pPr>
      <w:r>
        <w:rPr>
          <w:rFonts w:ascii="Times New Roman" w:hAnsi="Times New Roman" w:eastAsia="宋体"/>
          <w:lang w:val="en-US"/>
        </w:rPr>
        <w:t xml:space="preserve">Scenario 2: for continuing the MBS QoE measurement in the new gNB after entering the RRC_CONNECTED </w:t>
      </w:r>
      <w:r>
        <w:rPr>
          <w:rFonts w:hint="eastAsia" w:ascii="Times New Roman" w:hAnsi="Times New Roman" w:eastAsia="宋体"/>
          <w:lang w:val="en-US"/>
        </w:rPr>
        <w:t>state</w:t>
      </w:r>
    </w:p>
    <w:p>
      <w:pPr>
        <w:rPr>
          <w:rFonts w:ascii="Times New Roman" w:hAnsi="Times New Roman" w:eastAsia="宋体"/>
          <w:lang w:val="en-US"/>
        </w:rPr>
      </w:pPr>
      <w:r>
        <w:rPr>
          <w:rFonts w:ascii="Times New Roman" w:hAnsi="Times New Roman" w:eastAsia="宋体"/>
          <w:lang w:val="en-US"/>
        </w:rPr>
        <w:t>With respect to the scenario 2, a relating FFS has been made listed below:</w:t>
      </w:r>
    </w:p>
    <w:p>
      <w:pPr>
        <w:ind w:leftChars="100"/>
        <w:rPr>
          <w:rFonts w:ascii="Times New Roman" w:hAnsi="Times New Roman" w:eastAsia="宋体"/>
          <w:lang w:val="en-US"/>
        </w:rPr>
      </w:pPr>
      <w:r>
        <w:rPr>
          <w:rFonts w:ascii="Calibri" w:hAnsi="Calibri" w:cs="Calibri"/>
          <w:b/>
          <w:color w:val="0000FF"/>
          <w:sz w:val="18"/>
        </w:rPr>
        <w:t>FFS whether new gNB can re-configure MBS BC QoE</w:t>
      </w:r>
    </w:p>
    <w:p>
      <w:pPr>
        <w:rPr>
          <w:rFonts w:ascii="Times New Roman" w:hAnsi="Times New Roman" w:eastAsia="宋体"/>
          <w:lang w:val="en-US"/>
        </w:rPr>
      </w:pPr>
      <w:r>
        <w:rPr>
          <w:rFonts w:ascii="Times New Roman" w:hAnsi="Times New Roman" w:eastAsia="宋体"/>
          <w:lang w:val="en-US"/>
        </w:rPr>
        <w:t xml:space="preserve">If the new NB cannot do anything but just forward the QoE report from UEs to corresponding MCEs, then the ongoing QoE measurement configured in old gNB for MBS service would be out of control when UE comes to RRC_CONNECTED with ongoing MBS services. Since the MBS BC service is supported in all RRC states, the MBS BC QoE measurement should be supported in all RRC states too without any interruption. Then the new gNB </w:t>
      </w:r>
      <w:r>
        <w:rPr>
          <w:rFonts w:hint="eastAsia" w:ascii="Times New Roman" w:hAnsi="Times New Roman" w:eastAsia="宋体"/>
          <w:lang w:val="en-US"/>
        </w:rPr>
        <w:t>should</w:t>
      </w:r>
      <w:r>
        <w:rPr>
          <w:rFonts w:ascii="Times New Roman" w:hAnsi="Times New Roman" w:eastAsia="宋体"/>
          <w:lang w:val="en-US"/>
        </w:rPr>
        <w:t xml:space="preserve"> be able to re-configure MBS BC QoE for those UEs was in RRC_IDLE.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3</w:t>
      </w:r>
      <w:r>
        <w:rPr>
          <w:rFonts w:hint="eastAsia" w:ascii="Times New Roman" w:hAnsi="Times New Roman" w:eastAsia="宋体"/>
          <w:b/>
          <w:bCs/>
          <w:lang w:val="en-US"/>
        </w:rPr>
        <w:t>:</w:t>
      </w:r>
      <w:r>
        <w:rPr>
          <w:rFonts w:ascii="Times New Roman" w:hAnsi="Times New Roman" w:eastAsia="宋体"/>
          <w:b/>
          <w:bCs/>
          <w:lang w:val="en-US"/>
        </w:rPr>
        <w:t xml:space="preserve"> New gNB can re-configure MBS BC QoE for UEs in RRC_IDLE</w:t>
      </w:r>
      <w:r>
        <w:rPr>
          <w:rFonts w:hint="eastAsia" w:ascii="Times New Roman" w:hAnsi="Times New Roman" w:eastAsia="宋体"/>
          <w:b/>
          <w:bCs/>
          <w:lang w:val="en-US"/>
        </w:rPr>
        <w:t>.</w:t>
      </w:r>
    </w:p>
    <w:p>
      <w:pPr>
        <w:rPr>
          <w:rFonts w:ascii="Times New Roman" w:hAnsi="Times New Roman" w:eastAsia="宋体"/>
          <w:b/>
          <w:bCs/>
          <w:lang w:val="en-US"/>
        </w:rPr>
      </w:pPr>
    </w:p>
    <w:p>
      <w:pPr>
        <w:rPr>
          <w:rFonts w:ascii="Times New Roman" w:hAnsi="Times New Roman" w:eastAsia="宋体"/>
          <w:lang w:val="en-US"/>
        </w:rPr>
      </w:pPr>
      <w:r>
        <w:rPr>
          <w:rFonts w:ascii="Times New Roman" w:hAnsi="Times New Roman" w:eastAsia="宋体"/>
          <w:lang w:val="en-US"/>
        </w:rPr>
        <w:t xml:space="preserve">In this case, the QoE measurement may not </w:t>
      </w:r>
      <w:r>
        <w:rPr>
          <w:rFonts w:hint="eastAsia" w:ascii="Times New Roman" w:hAnsi="Times New Roman" w:eastAsia="宋体"/>
          <w:lang w:val="en-US"/>
        </w:rPr>
        <w:t>be</w:t>
      </w:r>
      <w:r>
        <w:rPr>
          <w:rFonts w:ascii="Times New Roman" w:hAnsi="Times New Roman" w:eastAsia="宋体"/>
          <w:lang w:val="en-US"/>
        </w:rPr>
        <w:t xml:space="preserve"> finish</w:t>
      </w:r>
      <w:r>
        <w:rPr>
          <w:rFonts w:hint="eastAsia" w:ascii="Times New Roman" w:hAnsi="Times New Roman" w:eastAsia="宋体"/>
          <w:lang w:val="en-US"/>
        </w:rPr>
        <w:t>ed</w:t>
      </w:r>
      <w:r>
        <w:rPr>
          <w:rFonts w:ascii="Times New Roman" w:hAnsi="Times New Roman" w:eastAsia="宋体"/>
          <w:lang w:val="en-US"/>
        </w:rPr>
        <w:t xml:space="preserve"> after UE entering the RRC_CONNECTED </w:t>
      </w:r>
      <w:r>
        <w:rPr>
          <w:rFonts w:hint="eastAsia" w:ascii="Times New Roman" w:hAnsi="Times New Roman" w:eastAsia="宋体"/>
          <w:lang w:val="en-US"/>
        </w:rPr>
        <w:t>state,</w:t>
      </w:r>
      <w:r>
        <w:rPr>
          <w:rFonts w:ascii="Times New Roman" w:hAnsi="Times New Roman" w:eastAsia="宋体"/>
          <w:lang w:val="en-US"/>
        </w:rPr>
        <w:t xml:space="preserve"> to support continuing the QoE measurement, the new gNB need to check the area scope for itself whether it belongs to the area scope or not, then to decide whether to release or continue the QoE measurement. Same for slice ID, the new gNB need to check the slice scope for itself whether it supports the slice or not to decide whether to release or continue the QoE measurement.</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4</w:t>
      </w:r>
      <w:r>
        <w:rPr>
          <w:rFonts w:hint="eastAsia" w:ascii="Times New Roman" w:hAnsi="Times New Roman" w:eastAsia="宋体"/>
          <w:b/>
          <w:bCs/>
          <w:lang w:val="en-US"/>
        </w:rPr>
        <w:t>:</w:t>
      </w:r>
      <w:r>
        <w:rPr>
          <w:rFonts w:ascii="Times New Roman" w:hAnsi="Times New Roman" w:eastAsia="宋体"/>
          <w:b/>
          <w:bCs/>
          <w:lang w:val="en-US"/>
        </w:rPr>
        <w:t xml:space="preserve"> Area Scope IE and S-NSSAI Information should be provided to new gNB for continuity of QoE configuration.</w:t>
      </w:r>
    </w:p>
    <w:p>
      <w:pPr>
        <w:rPr>
          <w:rFonts w:ascii="Times New Roman" w:hAnsi="Times New Roman" w:eastAsia="宋体"/>
          <w:lang w:val="en-US"/>
        </w:rPr>
      </w:pPr>
    </w:p>
    <w:p>
      <w:pPr>
        <w:rPr>
          <w:rFonts w:ascii="Times New Roman" w:hAnsi="Times New Roman" w:eastAsia="宋体"/>
          <w:bCs/>
          <w:lang w:val="en-US"/>
        </w:rPr>
      </w:pPr>
      <w:r>
        <w:rPr>
          <w:rFonts w:ascii="Times New Roman" w:hAnsi="Times New Roman" w:eastAsia="宋体"/>
          <w:lang w:val="en-US"/>
        </w:rPr>
        <w:t>In case there is some overriding issue when the overall number (for now is 16) of QoE configuration is reached, the new gNB should be aware of the Q</w:t>
      </w:r>
      <w:r>
        <w:rPr>
          <w:rFonts w:hint="eastAsia" w:ascii="Times New Roman" w:hAnsi="Times New Roman" w:eastAsia="宋体"/>
          <w:lang w:val="en-US"/>
        </w:rPr>
        <w:t>oE</w:t>
      </w:r>
      <w:r>
        <w:rPr>
          <w:rFonts w:ascii="Times New Roman" w:hAnsi="Times New Roman" w:eastAsia="宋体"/>
          <w:lang w:val="en-US"/>
        </w:rPr>
        <w:t xml:space="preserve"> </w:t>
      </w:r>
      <w:r>
        <w:rPr>
          <w:rFonts w:hint="eastAsia" w:ascii="Times New Roman" w:hAnsi="Times New Roman" w:eastAsia="宋体"/>
          <w:lang w:val="en-US"/>
        </w:rPr>
        <w:t>measurement</w:t>
      </w:r>
      <w:r>
        <w:rPr>
          <w:rFonts w:ascii="Times New Roman" w:hAnsi="Times New Roman" w:eastAsia="宋体"/>
          <w:lang w:val="en-US"/>
        </w:rPr>
        <w:t xml:space="preserve"> </w:t>
      </w:r>
      <w:r>
        <w:rPr>
          <w:rFonts w:hint="eastAsia" w:ascii="Times New Roman" w:hAnsi="Times New Roman" w:eastAsia="宋体"/>
          <w:lang w:val="en-US"/>
        </w:rPr>
        <w:t>type</w:t>
      </w:r>
      <w:r>
        <w:rPr>
          <w:rFonts w:ascii="Times New Roman" w:hAnsi="Times New Roman" w:eastAsia="宋体"/>
          <w:lang w:val="en-US"/>
        </w:rPr>
        <w:t xml:space="preserve"> (s-based or m-based</w:t>
      </w:r>
      <w:r>
        <w:rPr>
          <w:rFonts w:hint="eastAsia" w:ascii="Times New Roman" w:hAnsi="Times New Roman" w:eastAsia="宋体"/>
          <w:lang w:val="en-US"/>
        </w:rPr>
        <w:t>)</w:t>
      </w:r>
      <w:r>
        <w:rPr>
          <w:rFonts w:ascii="Times New Roman" w:hAnsi="Times New Roman" w:eastAsia="宋体"/>
          <w:lang w:val="en-US"/>
        </w:rPr>
        <w:t xml:space="preserve">, then it can execute the override operation. (s-based override m-based QoE configuration). </w:t>
      </w:r>
      <w:r>
        <w:rPr>
          <w:rFonts w:ascii="Times New Roman" w:hAnsi="Times New Roman" w:eastAsia="宋体"/>
          <w:bCs/>
          <w:lang w:val="en-US"/>
        </w:rPr>
        <w:t xml:space="preserve">Meanwhile, the amount of configured QoE measurement should be indicated to gNB, then gNB can send the application layer measurement configurations to the UE based on the existing number of QoE measurement configurations in the UE to avoid overriding issue. UE reports its QoE configurations information containing the number of idle QoE configuration in RRCSetupComplete message. </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5</w:t>
      </w:r>
      <w:r>
        <w:rPr>
          <w:rFonts w:hint="eastAsia" w:ascii="Times New Roman" w:hAnsi="Times New Roman" w:eastAsia="宋体"/>
          <w:b/>
          <w:bCs/>
          <w:lang w:val="en-US"/>
        </w:rPr>
        <w:t>:</w:t>
      </w:r>
      <w:r>
        <w:rPr>
          <w:rFonts w:ascii="Times New Roman" w:hAnsi="Times New Roman" w:eastAsia="宋体"/>
          <w:b/>
          <w:bCs/>
          <w:lang w:val="en-US"/>
        </w:rPr>
        <w:t xml:space="preserve"> QoE measurement type should be provided to new gNB for overriding issue in case the maximum number of QoE configuration is exceeded.</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6</w:t>
      </w:r>
      <w:r>
        <w:rPr>
          <w:rFonts w:hint="eastAsia" w:ascii="Times New Roman" w:hAnsi="Times New Roman" w:eastAsia="宋体"/>
          <w:b/>
          <w:bCs/>
          <w:lang w:val="en-US"/>
        </w:rPr>
        <w:t>:</w:t>
      </w:r>
      <w:r>
        <w:rPr>
          <w:rFonts w:ascii="Times New Roman" w:hAnsi="Times New Roman" w:eastAsia="宋体"/>
          <w:b/>
          <w:bCs/>
          <w:lang w:val="en-US"/>
        </w:rPr>
        <w:t xml:space="preserve"> UE should include the number of idle QoE configuration when </w:t>
      </w:r>
      <w:r>
        <w:rPr>
          <w:rFonts w:ascii="Times New Roman" w:hAnsi="Times New Roman" w:eastAsia="宋体"/>
          <w:b/>
          <w:lang w:val="en-US"/>
        </w:rPr>
        <w:t>the UE switches from RRC_IDLE to RRC_CONNECTED in RRCSetupComplete message to avoid overriding issue.</w:t>
      </w:r>
    </w:p>
    <w:p>
      <w:pPr>
        <w:rPr>
          <w:rFonts w:eastAsia="宋体"/>
          <w:lang w:val="en-US"/>
        </w:rPr>
      </w:pPr>
    </w:p>
    <w:p>
      <w:pPr>
        <w:rPr>
          <w:rFonts w:ascii="Times New Roman" w:hAnsi="Times New Roman" w:eastAsia="宋体"/>
          <w:bCs/>
          <w:lang w:val="en-US"/>
        </w:rPr>
      </w:pPr>
      <w:r>
        <w:rPr>
          <w:rFonts w:ascii="Times New Roman" w:hAnsi="Times New Roman" w:eastAsia="宋体"/>
          <w:bCs/>
          <w:lang w:val="en-US"/>
        </w:rPr>
        <w:t xml:space="preserve">The new gNB should be provided with the information demonstrated above, both CN-based and UE-based solution seems </w:t>
      </w:r>
      <w:r>
        <w:rPr>
          <w:rFonts w:hint="eastAsia" w:ascii="Times New Roman" w:hAnsi="Times New Roman" w:eastAsia="宋体"/>
          <w:bCs/>
          <w:lang w:val="en-US"/>
        </w:rPr>
        <w:t>to</w:t>
      </w:r>
      <w:r>
        <w:rPr>
          <w:rFonts w:ascii="Times New Roman" w:hAnsi="Times New Roman" w:eastAsia="宋体"/>
          <w:bCs/>
          <w:lang w:val="en-US"/>
        </w:rPr>
        <w:t xml:space="preserve"> </w:t>
      </w:r>
      <w:r>
        <w:rPr>
          <w:rFonts w:hint="eastAsia" w:ascii="Times New Roman" w:hAnsi="Times New Roman" w:eastAsia="宋体"/>
          <w:bCs/>
          <w:lang w:val="en-US"/>
        </w:rPr>
        <w:t>be</w:t>
      </w:r>
      <w:r>
        <w:rPr>
          <w:rFonts w:ascii="Times New Roman" w:hAnsi="Times New Roman" w:eastAsia="宋体"/>
          <w:bCs/>
          <w:lang w:val="en-US"/>
        </w:rPr>
        <w:t xml:space="preserve"> feasible to handle this issue, but considering CN-based solution would bring large impacts on Core Network which need to store all the network instance QoE configuration for each UEs, UE-based solution is simpler and straightforward to store its some of configuration for gNB and report it within the legacy QoE report just like what we did in the logged MDT mechanism.</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7</w:t>
      </w:r>
      <w:r>
        <w:rPr>
          <w:rFonts w:hint="eastAsia" w:ascii="Times New Roman" w:hAnsi="Times New Roman" w:eastAsia="宋体"/>
          <w:b/>
          <w:bCs/>
          <w:lang w:val="en-US"/>
        </w:rPr>
        <w:t>:</w:t>
      </w:r>
      <w:r>
        <w:rPr>
          <w:rFonts w:ascii="Times New Roman" w:hAnsi="Times New Roman" w:eastAsia="宋体"/>
          <w:b/>
          <w:bCs/>
          <w:lang w:val="en-US"/>
        </w:rPr>
        <w:t xml:space="preserve"> RAN3 </w:t>
      </w:r>
      <w:r>
        <w:rPr>
          <w:rFonts w:ascii="Times New Roman" w:hAnsi="Times New Roman" w:eastAsia="宋体"/>
          <w:b/>
          <w:lang w:val="en-US"/>
        </w:rPr>
        <w:t>agrees UE-based solution to handle the MBS broadcast QoE measurements can proceed after the UE switches from RRC_IDLE to RRC_CONNECTED.</w:t>
      </w:r>
    </w:p>
    <w:p>
      <w:pPr>
        <w:rPr>
          <w:rFonts w:ascii="Times New Roman" w:hAnsi="Times New Roman" w:eastAsia="宋体"/>
          <w:bCs/>
          <w:lang w:val="en-US"/>
        </w:rPr>
      </w:pPr>
    </w:p>
    <w:p>
      <w:pPr>
        <w:pStyle w:val="3"/>
        <w:rPr>
          <w:rFonts w:ascii="Times New Roman" w:hAnsi="Times New Roman" w:cs="Times New Roman"/>
          <w:lang w:val="en-US"/>
        </w:rPr>
      </w:pPr>
      <w:r>
        <w:rPr>
          <w:rFonts w:hint="eastAsia" w:ascii="Times New Roman" w:hAnsi="Times New Roman" w:cs="Times New Roman"/>
          <w:lang w:val="en-US"/>
        </w:rPr>
        <w:t xml:space="preserve">QoE configuration for MBS service </w:t>
      </w:r>
      <w:r>
        <w:rPr>
          <w:rFonts w:hint="eastAsia" w:ascii="Times New Roman" w:hAnsi="Times New Roman" w:eastAsia="宋体" w:cs="Times New Roman"/>
          <w:lang w:val="en-US"/>
        </w:rPr>
        <w:t>in RRC_CONNECTED state</w:t>
      </w:r>
    </w:p>
    <w:p>
      <w:pPr>
        <w:rPr>
          <w:rFonts w:ascii="Times New Roman" w:hAnsi="Times New Roman" w:eastAsia="宋体"/>
          <w:bCs/>
          <w:lang w:val="en-US"/>
        </w:rPr>
      </w:pPr>
      <w:r>
        <w:rPr>
          <w:rFonts w:ascii="Times New Roman" w:hAnsi="Times New Roman" w:eastAsia="宋体"/>
          <w:bCs/>
          <w:lang w:val="en-US"/>
        </w:rPr>
        <w:t>When preparing to release the connection of a UE and in the meantime the gNB receive a QoE configuration for MBS service, the QoE configuration can be included in RRC release message to configure the UE for MBS QMC</w:t>
      </w:r>
      <w:r>
        <w:rPr>
          <w:rFonts w:hint="eastAsia" w:ascii="Times New Roman" w:hAnsi="Times New Roman" w:eastAsia="宋体"/>
          <w:bCs/>
          <w:lang w:val="en-US" w:eastAsia="zh-CN"/>
        </w:rPr>
        <w:t xml:space="preserve">, </w:t>
      </w:r>
      <w:r>
        <w:rPr>
          <w:rFonts w:ascii="Times New Roman" w:hAnsi="Times New Roman" w:eastAsia="宋体"/>
          <w:bCs/>
          <w:lang w:val="en-US"/>
        </w:rPr>
        <w:t xml:space="preserve">in order to avoid keeping the UE longer in RRC_CONNECTED </w:t>
      </w:r>
      <w:r>
        <w:rPr>
          <w:rFonts w:hint="eastAsia" w:ascii="Times New Roman" w:hAnsi="Times New Roman" w:eastAsia="宋体"/>
          <w:bCs/>
          <w:lang w:val="en-US"/>
        </w:rPr>
        <w:t>state</w:t>
      </w:r>
      <w:r>
        <w:rPr>
          <w:rFonts w:ascii="Times New Roman" w:hAnsi="Times New Roman" w:eastAsia="宋体"/>
          <w:bCs/>
          <w:lang w:val="en-US"/>
        </w:rPr>
        <w:t>,</w:t>
      </w:r>
      <w:bookmarkStart w:id="1" w:name="_GoBack"/>
      <w:bookmarkEnd w:id="1"/>
      <w:r>
        <w:rPr>
          <w:rFonts w:ascii="Times New Roman" w:hAnsi="Times New Roman" w:eastAsia="宋体"/>
          <w:bCs/>
          <w:lang w:val="en-US"/>
        </w:rPr>
        <w:t>.</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8: MB</w:t>
      </w:r>
      <w:r>
        <w:rPr>
          <w:rFonts w:ascii="Times New Roman" w:hAnsi="Times New Roman" w:eastAsia="宋体"/>
          <w:b/>
          <w:lang w:val="en-US"/>
        </w:rPr>
        <w:t>S</w:t>
      </w:r>
      <w:r>
        <w:rPr>
          <w:rFonts w:ascii="Times New Roman" w:hAnsi="Times New Roman" w:eastAsia="宋体"/>
          <w:lang w:val="en-US"/>
        </w:rPr>
        <w:t xml:space="preserve"> </w:t>
      </w:r>
      <w:r>
        <w:rPr>
          <w:rFonts w:ascii="Times New Roman" w:hAnsi="Times New Roman" w:eastAsia="宋体"/>
          <w:b/>
          <w:lang w:val="en-US"/>
        </w:rPr>
        <w:t>QoE configuration can be included in RRC release message to configure the UE.</w:t>
      </w:r>
    </w:p>
    <w:p>
      <w:pPr>
        <w:rPr>
          <w:rFonts w:ascii="Times New Roman" w:hAnsi="Times New Roman" w:eastAsia="等线"/>
          <w:bCs/>
          <w:lang w:val="en-US"/>
        </w:rPr>
      </w:pPr>
    </w:p>
    <w:p>
      <w:pPr>
        <w:pStyle w:val="2"/>
        <w:rPr>
          <w:rFonts w:ascii="Times New Roman" w:hAnsi="Times New Roman" w:cs="Times New Roman"/>
          <w:sz w:val="40"/>
        </w:rPr>
      </w:pPr>
      <w:r>
        <w:rPr>
          <w:rFonts w:ascii="Times New Roman" w:hAnsi="Times New Roman" w:cs="Times New Roman"/>
          <w:sz w:val="40"/>
        </w:rPr>
        <w:t>Conclusion</w:t>
      </w:r>
      <w:bookmarkStart w:id="0" w:name="_In-sequence_SDU_delivery"/>
      <w:bookmarkEnd w:id="0"/>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1</w:t>
      </w:r>
      <w:r>
        <w:rPr>
          <w:rFonts w:hint="eastAsia" w:ascii="Times New Roman" w:hAnsi="Times New Roman" w:eastAsia="宋体"/>
          <w:b/>
          <w:bCs/>
          <w:lang w:val="en-US"/>
        </w:rPr>
        <w:t>:</w:t>
      </w:r>
      <w:r>
        <w:rPr>
          <w:rFonts w:ascii="Times New Roman" w:hAnsi="Times New Roman" w:eastAsia="宋体"/>
          <w:b/>
          <w:bCs/>
          <w:lang w:val="en-US"/>
        </w:rPr>
        <w:t xml:space="preserve"> MCE IP ID information should be provided to new gNB for UE-based solution, and MCE IP address IE should be provided to new gNB for CN-based solution.</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ascii="Times New Roman" w:hAnsi="Times New Roman" w:eastAsia="宋体"/>
          <w:b/>
          <w:bCs/>
          <w:lang w:val="en-US"/>
        </w:rPr>
        <w:t xml:space="preserve"> MDT alignment information should be discussed after the basic solution has been consolidated.</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3</w:t>
      </w:r>
      <w:r>
        <w:rPr>
          <w:rFonts w:hint="eastAsia" w:ascii="Times New Roman" w:hAnsi="Times New Roman" w:eastAsia="宋体"/>
          <w:b/>
          <w:bCs/>
          <w:lang w:val="en-US"/>
        </w:rPr>
        <w:t>:</w:t>
      </w:r>
      <w:r>
        <w:rPr>
          <w:rFonts w:ascii="Times New Roman" w:hAnsi="Times New Roman" w:eastAsia="宋体"/>
          <w:b/>
          <w:bCs/>
          <w:lang w:val="en-US"/>
        </w:rPr>
        <w:t xml:space="preserve"> New gNB can re-configure MBS BC QoE for UEs in RRC_IDLE</w:t>
      </w:r>
      <w:r>
        <w:rPr>
          <w:rFonts w:hint="eastAsia" w:ascii="Times New Roman" w:hAnsi="Times New Roman" w:eastAsia="宋体"/>
          <w:b/>
          <w:bCs/>
          <w:lang w:val="en-US"/>
        </w:rPr>
        <w:t>.</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4</w:t>
      </w:r>
      <w:r>
        <w:rPr>
          <w:rFonts w:hint="eastAsia" w:ascii="Times New Roman" w:hAnsi="Times New Roman" w:eastAsia="宋体"/>
          <w:b/>
          <w:bCs/>
          <w:lang w:val="en-US"/>
        </w:rPr>
        <w:t>:</w:t>
      </w:r>
      <w:r>
        <w:rPr>
          <w:rFonts w:ascii="Times New Roman" w:hAnsi="Times New Roman" w:eastAsia="宋体"/>
          <w:b/>
          <w:bCs/>
          <w:lang w:val="en-US"/>
        </w:rPr>
        <w:t xml:space="preserve"> Area Scope IE and S-NSSAI Information should be provided to new gNB for continuity of QoE configuration.</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5</w:t>
      </w:r>
      <w:r>
        <w:rPr>
          <w:rFonts w:hint="eastAsia" w:ascii="Times New Roman" w:hAnsi="Times New Roman" w:eastAsia="宋体"/>
          <w:b/>
          <w:bCs/>
          <w:lang w:val="en-US"/>
        </w:rPr>
        <w:t>:</w:t>
      </w:r>
      <w:r>
        <w:rPr>
          <w:rFonts w:ascii="Times New Roman" w:hAnsi="Times New Roman" w:eastAsia="宋体"/>
          <w:b/>
          <w:bCs/>
          <w:lang w:val="en-US"/>
        </w:rPr>
        <w:t xml:space="preserve"> QoE measurement type should be provided to new gNB for overriding issue in case the maximum number of QoE configuration is exceeded.</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6</w:t>
      </w:r>
      <w:r>
        <w:rPr>
          <w:rFonts w:hint="eastAsia" w:ascii="Times New Roman" w:hAnsi="Times New Roman" w:eastAsia="宋体"/>
          <w:b/>
          <w:bCs/>
          <w:lang w:val="en-US"/>
        </w:rPr>
        <w:t>:</w:t>
      </w:r>
      <w:r>
        <w:rPr>
          <w:rFonts w:ascii="Times New Roman" w:hAnsi="Times New Roman" w:eastAsia="宋体"/>
          <w:b/>
          <w:bCs/>
          <w:lang w:val="en-US"/>
        </w:rPr>
        <w:t xml:space="preserve"> UE should include the number of idle QoE configuration when </w:t>
      </w:r>
      <w:r>
        <w:rPr>
          <w:rFonts w:ascii="Times New Roman" w:hAnsi="Times New Roman" w:eastAsia="宋体"/>
          <w:b/>
          <w:lang w:val="en-US"/>
        </w:rPr>
        <w:t>the UE switches from RRC_IDLE to RRC_CONNECTED in RRCSetupComplete message to avoid overriding issue.</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7</w:t>
      </w:r>
      <w:r>
        <w:rPr>
          <w:rFonts w:hint="eastAsia" w:ascii="Times New Roman" w:hAnsi="Times New Roman" w:eastAsia="宋体"/>
          <w:b/>
          <w:bCs/>
          <w:lang w:val="en-US"/>
        </w:rPr>
        <w:t>:</w:t>
      </w:r>
      <w:r>
        <w:rPr>
          <w:rFonts w:ascii="Times New Roman" w:hAnsi="Times New Roman" w:eastAsia="宋体"/>
          <w:b/>
          <w:bCs/>
          <w:lang w:val="en-US"/>
        </w:rPr>
        <w:t xml:space="preserve"> RAN3 </w:t>
      </w:r>
      <w:r>
        <w:rPr>
          <w:rFonts w:ascii="Times New Roman" w:hAnsi="Times New Roman" w:eastAsia="宋体"/>
          <w:b/>
          <w:lang w:val="en-US"/>
        </w:rPr>
        <w:t>agrees UE-based solution to handle the MBS broadcast QoE measurements can proceed after the UE switches from RRC_IDLE to RRC_CONNECTED.</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8: MB</w:t>
      </w:r>
      <w:r>
        <w:rPr>
          <w:rFonts w:ascii="Times New Roman" w:hAnsi="Times New Roman" w:eastAsia="宋体"/>
          <w:b/>
          <w:lang w:val="en-US"/>
        </w:rPr>
        <w:t>S</w:t>
      </w:r>
      <w:r>
        <w:rPr>
          <w:rFonts w:ascii="Times New Roman" w:hAnsi="Times New Roman" w:eastAsia="宋体"/>
          <w:lang w:val="en-US"/>
        </w:rPr>
        <w:t xml:space="preserve"> </w:t>
      </w:r>
      <w:r>
        <w:rPr>
          <w:rFonts w:ascii="Times New Roman" w:hAnsi="Times New Roman" w:eastAsia="宋体"/>
          <w:b/>
          <w:lang w:val="en-US"/>
        </w:rPr>
        <w:t>QoE configuration can be included in RRC release message to configure the UE.</w:t>
      </w:r>
    </w:p>
    <w:p>
      <w:pPr>
        <w:rPr>
          <w:rFonts w:eastAsia="等线"/>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6FE465E"/>
    <w:multiLevelType w:val="multilevel"/>
    <w:tmpl w:val="76FE465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A137BF1"/>
    <w:multiLevelType w:val="multilevel"/>
    <w:tmpl w:val="7A137BF1"/>
    <w:lvl w:ilvl="0" w:tentative="0">
      <w:start w:val="11"/>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5"/>
  </w:num>
  <w:num w:numId="5">
    <w:abstractNumId w:val="1"/>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130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0F"/>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226"/>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3D40"/>
    <w:rsid w:val="00094313"/>
    <w:rsid w:val="000950A2"/>
    <w:rsid w:val="000950EA"/>
    <w:rsid w:val="00095F2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5983"/>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85E"/>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6DB"/>
    <w:rsid w:val="00174BE1"/>
    <w:rsid w:val="00175027"/>
    <w:rsid w:val="001750B8"/>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27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4A5"/>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0F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27DE6"/>
    <w:rsid w:val="00230204"/>
    <w:rsid w:val="00230AB6"/>
    <w:rsid w:val="002317F8"/>
    <w:rsid w:val="00231AA1"/>
    <w:rsid w:val="00232184"/>
    <w:rsid w:val="0023238C"/>
    <w:rsid w:val="00232BD5"/>
    <w:rsid w:val="002331FC"/>
    <w:rsid w:val="00233BAC"/>
    <w:rsid w:val="00233C98"/>
    <w:rsid w:val="00233EDA"/>
    <w:rsid w:val="00234221"/>
    <w:rsid w:val="002343EA"/>
    <w:rsid w:val="00234456"/>
    <w:rsid w:val="00234C25"/>
    <w:rsid w:val="002352BC"/>
    <w:rsid w:val="00235CAE"/>
    <w:rsid w:val="0023604E"/>
    <w:rsid w:val="002368DD"/>
    <w:rsid w:val="00236BFE"/>
    <w:rsid w:val="00236EC8"/>
    <w:rsid w:val="002370D5"/>
    <w:rsid w:val="002370EA"/>
    <w:rsid w:val="0024074B"/>
    <w:rsid w:val="00240D3C"/>
    <w:rsid w:val="00240F65"/>
    <w:rsid w:val="00243476"/>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355"/>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6DEC"/>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C6CB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0A2"/>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0AA"/>
    <w:rsid w:val="00331142"/>
    <w:rsid w:val="00331533"/>
    <w:rsid w:val="003315CA"/>
    <w:rsid w:val="0033160C"/>
    <w:rsid w:val="003317C4"/>
    <w:rsid w:val="00331D8A"/>
    <w:rsid w:val="00332209"/>
    <w:rsid w:val="00333056"/>
    <w:rsid w:val="003331CF"/>
    <w:rsid w:val="00333998"/>
    <w:rsid w:val="00333A44"/>
    <w:rsid w:val="003348E8"/>
    <w:rsid w:val="00334956"/>
    <w:rsid w:val="00334A39"/>
    <w:rsid w:val="00335EDA"/>
    <w:rsid w:val="00335EE9"/>
    <w:rsid w:val="00336E0F"/>
    <w:rsid w:val="00337298"/>
    <w:rsid w:val="0033773F"/>
    <w:rsid w:val="00340AEC"/>
    <w:rsid w:val="00341B51"/>
    <w:rsid w:val="003425D3"/>
    <w:rsid w:val="00342F18"/>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5E88"/>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B62CA"/>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01C"/>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3E96"/>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0DB"/>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1D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C52"/>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011"/>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6D2"/>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EBE"/>
    <w:rsid w:val="00524F25"/>
    <w:rsid w:val="00525205"/>
    <w:rsid w:val="00525233"/>
    <w:rsid w:val="00525276"/>
    <w:rsid w:val="00525B5B"/>
    <w:rsid w:val="00525D51"/>
    <w:rsid w:val="0052717F"/>
    <w:rsid w:val="00530A90"/>
    <w:rsid w:val="0053100B"/>
    <w:rsid w:val="005319B7"/>
    <w:rsid w:val="00531FBF"/>
    <w:rsid w:val="00531FCE"/>
    <w:rsid w:val="005325BB"/>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2DA4"/>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325"/>
    <w:rsid w:val="00652628"/>
    <w:rsid w:val="006530F6"/>
    <w:rsid w:val="00653214"/>
    <w:rsid w:val="006532A6"/>
    <w:rsid w:val="00653439"/>
    <w:rsid w:val="00653622"/>
    <w:rsid w:val="00653734"/>
    <w:rsid w:val="00653FF7"/>
    <w:rsid w:val="0065429D"/>
    <w:rsid w:val="00657133"/>
    <w:rsid w:val="0066043C"/>
    <w:rsid w:val="00660760"/>
    <w:rsid w:val="00660C03"/>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705"/>
    <w:rsid w:val="006A694D"/>
    <w:rsid w:val="006A7AE6"/>
    <w:rsid w:val="006B01FF"/>
    <w:rsid w:val="006B03C6"/>
    <w:rsid w:val="006B1574"/>
    <w:rsid w:val="006B1EB5"/>
    <w:rsid w:val="006B22AB"/>
    <w:rsid w:val="006B3A09"/>
    <w:rsid w:val="006B4F12"/>
    <w:rsid w:val="006B5AC1"/>
    <w:rsid w:val="006B63EE"/>
    <w:rsid w:val="006B6F16"/>
    <w:rsid w:val="006B718E"/>
    <w:rsid w:val="006B734C"/>
    <w:rsid w:val="006B7A65"/>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1BE3"/>
    <w:rsid w:val="006E241F"/>
    <w:rsid w:val="006E3230"/>
    <w:rsid w:val="006E4FAA"/>
    <w:rsid w:val="006E5101"/>
    <w:rsid w:val="006E526C"/>
    <w:rsid w:val="006E5290"/>
    <w:rsid w:val="006E56F4"/>
    <w:rsid w:val="006E5775"/>
    <w:rsid w:val="006E63D4"/>
    <w:rsid w:val="006E6E8B"/>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5B9F"/>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A74"/>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490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3EB"/>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750"/>
    <w:rsid w:val="007A6A80"/>
    <w:rsid w:val="007A6B1C"/>
    <w:rsid w:val="007A7225"/>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3A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AF2"/>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395"/>
    <w:rsid w:val="008A5688"/>
    <w:rsid w:val="008A597C"/>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0FA"/>
    <w:rsid w:val="00923829"/>
    <w:rsid w:val="0092387B"/>
    <w:rsid w:val="00923AD0"/>
    <w:rsid w:val="00923C00"/>
    <w:rsid w:val="00923D0F"/>
    <w:rsid w:val="00924DB5"/>
    <w:rsid w:val="00925497"/>
    <w:rsid w:val="009254B7"/>
    <w:rsid w:val="0092552A"/>
    <w:rsid w:val="009259AD"/>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AAF"/>
    <w:rsid w:val="00943641"/>
    <w:rsid w:val="00943893"/>
    <w:rsid w:val="009448CD"/>
    <w:rsid w:val="00945120"/>
    <w:rsid w:val="009451EC"/>
    <w:rsid w:val="00945FC3"/>
    <w:rsid w:val="00946CDC"/>
    <w:rsid w:val="00946D12"/>
    <w:rsid w:val="0094715A"/>
    <w:rsid w:val="009502ED"/>
    <w:rsid w:val="00950582"/>
    <w:rsid w:val="00950DD5"/>
    <w:rsid w:val="009512BE"/>
    <w:rsid w:val="00951662"/>
    <w:rsid w:val="00951963"/>
    <w:rsid w:val="00951C49"/>
    <w:rsid w:val="00952A20"/>
    <w:rsid w:val="00952E52"/>
    <w:rsid w:val="0095314F"/>
    <w:rsid w:val="009547E8"/>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84"/>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1BD3"/>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487F"/>
    <w:rsid w:val="00A14FC4"/>
    <w:rsid w:val="00A1503F"/>
    <w:rsid w:val="00A15456"/>
    <w:rsid w:val="00A15FC1"/>
    <w:rsid w:val="00A16577"/>
    <w:rsid w:val="00A169A2"/>
    <w:rsid w:val="00A16F7B"/>
    <w:rsid w:val="00A17017"/>
    <w:rsid w:val="00A17B12"/>
    <w:rsid w:val="00A17BFB"/>
    <w:rsid w:val="00A20561"/>
    <w:rsid w:val="00A2154A"/>
    <w:rsid w:val="00A21EC1"/>
    <w:rsid w:val="00A22ADC"/>
    <w:rsid w:val="00A239E8"/>
    <w:rsid w:val="00A23A11"/>
    <w:rsid w:val="00A23B37"/>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253"/>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2AAC"/>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7AC"/>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A7CD5"/>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68E"/>
    <w:rsid w:val="00AC5D6C"/>
    <w:rsid w:val="00AC6691"/>
    <w:rsid w:val="00AC686D"/>
    <w:rsid w:val="00AC77A7"/>
    <w:rsid w:val="00AC7AD2"/>
    <w:rsid w:val="00AC7F42"/>
    <w:rsid w:val="00AC7FED"/>
    <w:rsid w:val="00AD1127"/>
    <w:rsid w:val="00AD1632"/>
    <w:rsid w:val="00AD183F"/>
    <w:rsid w:val="00AD257A"/>
    <w:rsid w:val="00AD3035"/>
    <w:rsid w:val="00AD382A"/>
    <w:rsid w:val="00AD3DC8"/>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B96"/>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440"/>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6FF0"/>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27E68"/>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28C"/>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2B76"/>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CE2"/>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5F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47C"/>
    <w:rsid w:val="00D97E0F"/>
    <w:rsid w:val="00DA072B"/>
    <w:rsid w:val="00DA0795"/>
    <w:rsid w:val="00DA0F58"/>
    <w:rsid w:val="00DA1B03"/>
    <w:rsid w:val="00DA1BA6"/>
    <w:rsid w:val="00DA31FD"/>
    <w:rsid w:val="00DA36FB"/>
    <w:rsid w:val="00DA37A7"/>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2C89"/>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31A3"/>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192"/>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89A"/>
    <w:rsid w:val="00E40A75"/>
    <w:rsid w:val="00E40B89"/>
    <w:rsid w:val="00E410D7"/>
    <w:rsid w:val="00E410EA"/>
    <w:rsid w:val="00E41211"/>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1C8"/>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290F"/>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7F0"/>
    <w:rsid w:val="00EF2CCD"/>
    <w:rsid w:val="00EF3354"/>
    <w:rsid w:val="00EF34F4"/>
    <w:rsid w:val="00EF362B"/>
    <w:rsid w:val="00EF3A34"/>
    <w:rsid w:val="00EF3B7C"/>
    <w:rsid w:val="00EF56EC"/>
    <w:rsid w:val="00EF5793"/>
    <w:rsid w:val="00EF5E34"/>
    <w:rsid w:val="00EF5F77"/>
    <w:rsid w:val="00EF641E"/>
    <w:rsid w:val="00EF6424"/>
    <w:rsid w:val="00EF6C09"/>
    <w:rsid w:val="00EF764E"/>
    <w:rsid w:val="00EF7A52"/>
    <w:rsid w:val="00F01780"/>
    <w:rsid w:val="00F01B4F"/>
    <w:rsid w:val="00F02013"/>
    <w:rsid w:val="00F020C2"/>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242"/>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4297"/>
    <w:rsid w:val="00F44B06"/>
    <w:rsid w:val="00F45309"/>
    <w:rsid w:val="00F458EB"/>
    <w:rsid w:val="00F46423"/>
    <w:rsid w:val="00F46769"/>
    <w:rsid w:val="00F46B26"/>
    <w:rsid w:val="00F46D21"/>
    <w:rsid w:val="00F46DB5"/>
    <w:rsid w:val="00F473FF"/>
    <w:rsid w:val="00F47E6A"/>
    <w:rsid w:val="00F50220"/>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67436"/>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6DB"/>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437D"/>
    <w:rsid w:val="00FB5134"/>
    <w:rsid w:val="00FB5423"/>
    <w:rsid w:val="00FB56B4"/>
    <w:rsid w:val="00FB5A76"/>
    <w:rsid w:val="00FB6045"/>
    <w:rsid w:val="00FB6260"/>
    <w:rsid w:val="00FB6368"/>
    <w:rsid w:val="00FB716E"/>
    <w:rsid w:val="00FB7C82"/>
    <w:rsid w:val="00FC054E"/>
    <w:rsid w:val="00FC122B"/>
    <w:rsid w:val="00FC1D4A"/>
    <w:rsid w:val="00FC1D7F"/>
    <w:rsid w:val="00FC2217"/>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2AF3174"/>
    <w:rsid w:val="034D79BA"/>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0FD03E05"/>
    <w:rsid w:val="108D1707"/>
    <w:rsid w:val="13232D35"/>
    <w:rsid w:val="158B5FE6"/>
    <w:rsid w:val="17650D6F"/>
    <w:rsid w:val="184B7AF2"/>
    <w:rsid w:val="1AE041B2"/>
    <w:rsid w:val="1CA3450A"/>
    <w:rsid w:val="1E5701E1"/>
    <w:rsid w:val="20242017"/>
    <w:rsid w:val="214135E7"/>
    <w:rsid w:val="2523151F"/>
    <w:rsid w:val="270C5387"/>
    <w:rsid w:val="27F31009"/>
    <w:rsid w:val="28101153"/>
    <w:rsid w:val="289A4890"/>
    <w:rsid w:val="2913307B"/>
    <w:rsid w:val="2BC928D7"/>
    <w:rsid w:val="2BF10707"/>
    <w:rsid w:val="2CA241C4"/>
    <w:rsid w:val="2F4807C7"/>
    <w:rsid w:val="30FB364B"/>
    <w:rsid w:val="327370F9"/>
    <w:rsid w:val="366803A8"/>
    <w:rsid w:val="37B8766E"/>
    <w:rsid w:val="381A0ADD"/>
    <w:rsid w:val="399F6504"/>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0B283F"/>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470D74"/>
    <w:rsid w:val="69713E00"/>
    <w:rsid w:val="6A127B12"/>
    <w:rsid w:val="6ADE5CCA"/>
    <w:rsid w:val="6AE702AE"/>
    <w:rsid w:val="6D5B21F7"/>
    <w:rsid w:val="6D6946B9"/>
    <w:rsid w:val="74C716DA"/>
    <w:rsid w:val="75863B26"/>
    <w:rsid w:val="763C2E9B"/>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2"/>
    <w:unhideWhenUsed/>
    <w:qFormat/>
    <w:uiPriority w:val="99"/>
    <w:rPr>
      <w:color w:val="605E5C"/>
      <w:shd w:val="clear" w:color="auto" w:fill="E1DFDD"/>
    </w:rPr>
  </w:style>
  <w:style w:type="character" w:customStyle="1" w:styleId="73">
    <w:name w:val="@他1"/>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5">
    <w:name w:val="Default"/>
    <w:uiPriority w:val="0"/>
    <w:pPr>
      <w:widowControl w:val="0"/>
      <w:autoSpaceDE w:val="0"/>
      <w:autoSpaceDN w:val="0"/>
      <w:adjustRightInd w:val="0"/>
    </w:pPr>
    <w:rPr>
      <w:rFonts w:ascii="Times New Roman" w:hAnsi="Times New Roman" w:eastAsia="Batang" w:cs="Times New Roman"/>
      <w:color w:val="000000"/>
      <w:sz w:val="24"/>
      <w:szCs w:val="24"/>
      <w:lang w:val="en-US" w:eastAsia="zh-CN" w:bidi="ar-SA"/>
    </w:rPr>
  </w:style>
  <w:style w:type="paragraph" w:customStyle="1" w:styleId="76">
    <w:name w:val="正文1"/>
    <w:qFormat/>
    <w:uiPriority w:val="0"/>
    <w:pPr>
      <w:jc w:val="both"/>
    </w:pPr>
    <w:rPr>
      <w:rFonts w:ascii="Calibri" w:hAnsi="Calibri" w:eastAsia="宋体" w:cs="Calibri"/>
      <w:kern w:val="2"/>
      <w:sz w:val="21"/>
      <w:szCs w:val="21"/>
      <w:lang w:val="en-US" w:eastAsia="zh-CN" w:bidi="ar-SA"/>
    </w:rPr>
  </w:style>
  <w:style w:type="paragraph" w:customStyle="1" w:styleId="77">
    <w:name w:val="正文2"/>
    <w:qFormat/>
    <w:uiPriority w:val="0"/>
    <w:pPr>
      <w:jc w:val="both"/>
    </w:pPr>
    <w:rPr>
      <w:rFonts w:ascii="Calibri" w:hAnsi="Calibri" w:eastAsia="宋体" w:cs="Calibri"/>
      <w:kern w:val="2"/>
      <w:sz w:val="21"/>
      <w:szCs w:val="21"/>
      <w:lang w:val="en-US" w:eastAsia="zh-CN" w:bidi="ar-SA"/>
    </w:rPr>
  </w:style>
  <w:style w:type="character" w:customStyle="1" w:styleId="78">
    <w:name w:val="首标题"/>
    <w:qFormat/>
    <w:uiPriority w:val="0"/>
    <w:rPr>
      <w:rFonts w:ascii="Arial" w:hAnsi="Arial" w:eastAsia="宋体"/>
      <w:sz w:val="24"/>
      <w:lang w:val="en-US" w:eastAsia="zh-CN" w:bidi="ar-SA"/>
    </w:rPr>
  </w:style>
  <w:style w:type="paragraph" w:customStyle="1" w:styleId="79">
    <w:name w:val="Revision"/>
    <w:hidden/>
    <w:semiHidden/>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35C540D-ABC3-43F7-986C-BD46CEFA09E5}">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FB6DDB7C-9959-4AEC-AA49-498A6EC77218}">
  <ds:schemaRefs/>
</ds:datastoreItem>
</file>

<file path=customXml/itemProps4.xml><?xml version="1.0" encoding="utf-8"?>
<ds:datastoreItem xmlns:ds="http://schemas.openxmlformats.org/officeDocument/2006/customXml" ds:itemID="{4C4EBDAD-F25C-4923-B5F8-0F15B0BFAADC}">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AB067330-89E3-4362-9022-7EE22BBAB73C}">
  <ds:schemaRefs/>
</ds:datastoreItem>
</file>

<file path=docProps/app.xml><?xml version="1.0" encoding="utf-8"?>
<Properties xmlns="http://schemas.openxmlformats.org/officeDocument/2006/extended-properties" xmlns:vt="http://schemas.openxmlformats.org/officeDocument/2006/docPropsVTypes">
  <Template>Normal</Template>
  <Pages>3</Pages>
  <Words>1135</Words>
  <Characters>6474</Characters>
  <Lines>53</Lines>
  <Paragraphs>15</Paragraphs>
  <TotalTime>0</TotalTime>
  <ScaleCrop>false</ScaleCrop>
  <LinksUpToDate>false</LinksUpToDate>
  <CharactersWithSpaces>7594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2023-02-17T06:34:00Z</dcterms:created>
  <dc:creator>Ericsson User</dc:creator>
  <cp:lastModifiedBy>Author</cp:lastModifiedBy>
  <dcterms:modified xsi:type="dcterms:W3CDTF">2023-04-07T06:41:47Z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2052-11.8.2.11824</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